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77" w:rsidRPr="000442AB" w:rsidRDefault="00764877" w:rsidP="00764877">
      <w:pPr>
        <w:pStyle w:val="Balk2"/>
        <w:jc w:val="center"/>
        <w:rPr>
          <w:rFonts w:ascii="Arial" w:hAnsi="Arial" w:cs="Arial"/>
          <w:color w:val="C00000"/>
          <w:sz w:val="28"/>
          <w:szCs w:val="28"/>
        </w:rPr>
      </w:pPr>
      <w:r w:rsidRPr="000442AB">
        <w:rPr>
          <w:rFonts w:ascii="Arial" w:hAnsi="Arial" w:cs="Arial"/>
          <w:color w:val="C00000"/>
          <w:sz w:val="28"/>
          <w:szCs w:val="28"/>
        </w:rPr>
        <w:t xml:space="preserve">AVRUPA KOMİSYONU </w:t>
      </w:r>
      <w:hyperlink r:id="rId5" w:history="1">
        <w:r w:rsidRPr="000442AB">
          <w:rPr>
            <w:rFonts w:ascii="Arial" w:hAnsi="Arial" w:cs="Arial"/>
            <w:color w:val="C00000"/>
            <w:sz w:val="28"/>
            <w:szCs w:val="28"/>
          </w:rPr>
          <w:t>TEMEL HAKLAR VE YURTTAŞLIK HİBE PROGRAMI 2013 TEKLİF ÇAĞRISI</w:t>
        </w:r>
      </w:hyperlink>
    </w:p>
    <w:p w:rsidR="00764877" w:rsidRDefault="00764877" w:rsidP="000442AB">
      <w:pPr>
        <w:spacing w:line="360" w:lineRule="auto"/>
        <w:jc w:val="both"/>
        <w:rPr>
          <w:rFonts w:ascii="Arial" w:hAnsi="Arial" w:cs="Arial"/>
          <w:sz w:val="24"/>
          <w:szCs w:val="24"/>
        </w:rPr>
      </w:pPr>
      <w:r w:rsidRPr="00764877">
        <w:rPr>
          <w:rFonts w:ascii="Arial" w:hAnsi="Arial" w:cs="Arial"/>
          <w:sz w:val="24"/>
          <w:szCs w:val="24"/>
        </w:rPr>
        <w:t>AMAÇ ve HEDEFLER</w:t>
      </w:r>
    </w:p>
    <w:p w:rsidR="00764877" w:rsidRPr="000442AB" w:rsidRDefault="00764877" w:rsidP="000442AB">
      <w:pPr>
        <w:spacing w:line="360" w:lineRule="auto"/>
        <w:jc w:val="both"/>
        <w:rPr>
          <w:rFonts w:ascii="Arial" w:hAnsi="Arial" w:cs="Arial"/>
          <w:sz w:val="24"/>
          <w:szCs w:val="24"/>
        </w:rPr>
      </w:pPr>
      <w:r w:rsidRPr="000442AB">
        <w:rPr>
          <w:rFonts w:ascii="Arial" w:hAnsi="Arial" w:cs="Arial"/>
          <w:sz w:val="24"/>
          <w:szCs w:val="24"/>
        </w:rPr>
        <w:t>Çağrının amacı; Y</w:t>
      </w:r>
      <w:r w:rsidRPr="000442AB">
        <w:rPr>
          <w:rFonts w:ascii="Arial" w:hAnsi="Arial" w:cs="Arial"/>
          <w:sz w:val="24"/>
          <w:szCs w:val="24"/>
        </w:rPr>
        <w:t>urttaşlık, Çocuk Hakları, Avrupa Vatandaşlığı, Irkçı</w:t>
      </w:r>
      <w:r w:rsidRPr="000442AB">
        <w:rPr>
          <w:rFonts w:ascii="Arial" w:hAnsi="Arial" w:cs="Arial"/>
          <w:sz w:val="24"/>
          <w:szCs w:val="24"/>
        </w:rPr>
        <w:t xml:space="preserve">lık, Antisemitizm, </w:t>
      </w:r>
      <w:proofErr w:type="spellStart"/>
      <w:r w:rsidRPr="000442AB">
        <w:rPr>
          <w:rFonts w:ascii="Arial" w:hAnsi="Arial" w:cs="Arial"/>
          <w:sz w:val="24"/>
          <w:szCs w:val="24"/>
        </w:rPr>
        <w:t>Homofobiyle</w:t>
      </w:r>
      <w:proofErr w:type="spellEnd"/>
      <w:r w:rsidRPr="000442AB">
        <w:rPr>
          <w:rFonts w:ascii="Arial" w:hAnsi="Arial" w:cs="Arial"/>
          <w:sz w:val="24"/>
          <w:szCs w:val="24"/>
        </w:rPr>
        <w:t xml:space="preserve"> S</w:t>
      </w:r>
      <w:r w:rsidRPr="000442AB">
        <w:rPr>
          <w:rFonts w:ascii="Arial" w:hAnsi="Arial" w:cs="Arial"/>
          <w:sz w:val="24"/>
          <w:szCs w:val="24"/>
        </w:rPr>
        <w:t>ava</w:t>
      </w:r>
      <w:r w:rsidRPr="000442AB">
        <w:rPr>
          <w:rFonts w:ascii="Arial" w:hAnsi="Arial" w:cs="Arial"/>
          <w:sz w:val="24"/>
          <w:szCs w:val="24"/>
        </w:rPr>
        <w:t>şma gibi konuları içeren</w:t>
      </w:r>
      <w:r w:rsidRPr="000442AB">
        <w:rPr>
          <w:rFonts w:ascii="Arial" w:hAnsi="Arial" w:cs="Arial"/>
          <w:sz w:val="24"/>
          <w:szCs w:val="24"/>
        </w:rPr>
        <w:t xml:space="preserve"> 10</w:t>
      </w:r>
      <w:r w:rsidRPr="000442AB">
        <w:rPr>
          <w:rFonts w:ascii="Arial" w:hAnsi="Arial" w:cs="Arial"/>
          <w:sz w:val="24"/>
          <w:szCs w:val="24"/>
        </w:rPr>
        <w:t xml:space="preserve"> farklı öncelik alanında toplumun genel yapısının bilinçlendirilmesi, farkındalık artırımının sağlanmasındır</w:t>
      </w:r>
      <w:r w:rsidRPr="000442AB">
        <w:rPr>
          <w:rFonts w:ascii="Arial" w:hAnsi="Arial" w:cs="Arial"/>
          <w:sz w:val="24"/>
          <w:szCs w:val="24"/>
        </w:rPr>
        <w:t>.</w:t>
      </w:r>
    </w:p>
    <w:p w:rsidR="00764877" w:rsidRPr="000442AB" w:rsidRDefault="00764877" w:rsidP="000442AB">
      <w:pPr>
        <w:pStyle w:val="NormalWeb"/>
        <w:spacing w:line="360" w:lineRule="auto"/>
        <w:jc w:val="both"/>
        <w:rPr>
          <w:rFonts w:ascii="Arial" w:hAnsi="Arial" w:cs="Arial"/>
        </w:rPr>
      </w:pPr>
      <w:r w:rsidRPr="000442AB">
        <w:rPr>
          <w:rStyle w:val="Gl"/>
          <w:rFonts w:ascii="Arial" w:hAnsi="Arial" w:cs="Arial"/>
        </w:rPr>
        <w:t>1.Çocuk Hakları</w:t>
      </w:r>
      <w:r w:rsidRPr="000442AB">
        <w:rPr>
          <w:rFonts w:ascii="Arial" w:hAnsi="Arial" w:cs="Arial"/>
        </w:rPr>
        <w:br/>
        <w:t>Bakımevlerinde ya da gözaltında tutulan çocuklardan sorumlu uygulayıcılar/profesyoneller için çocuk hakları ile çocukla onun yaşına ve bulunduğu ortama uygun şekilde iletişim kurulması konularında eğitim.</w:t>
      </w:r>
      <w:r w:rsidRPr="000442AB">
        <w:rPr>
          <w:rFonts w:ascii="Arial" w:hAnsi="Arial" w:cs="Arial"/>
        </w:rPr>
        <w:br/>
        <w:t>Yargı süreçleri (adli ya da idari hukuk) bağlamında çocuklarla etkileşimde bulunan hukuk ve diğer alanlardaki (örneğin sosyal ve sağlık çalışanları, polis) profesyoneller ve uygula</w:t>
      </w:r>
      <w:r w:rsidR="000442AB" w:rsidRPr="000442AB">
        <w:rPr>
          <w:rFonts w:ascii="Arial" w:hAnsi="Arial" w:cs="Arial"/>
        </w:rPr>
        <w:t xml:space="preserve">yıcılar için çocuk dostu </w:t>
      </w:r>
      <w:proofErr w:type="gramStart"/>
      <w:r w:rsidR="000442AB" w:rsidRPr="000442AB">
        <w:rPr>
          <w:rFonts w:ascii="Arial" w:hAnsi="Arial" w:cs="Arial"/>
        </w:rPr>
        <w:t xml:space="preserve">adalet </w:t>
      </w:r>
      <w:r w:rsidRPr="000442AB">
        <w:rPr>
          <w:rFonts w:ascii="Arial" w:hAnsi="Arial" w:cs="Arial"/>
        </w:rPr>
        <w:t xml:space="preserve"> konusunda</w:t>
      </w:r>
      <w:proofErr w:type="gramEnd"/>
      <w:r w:rsidRPr="000442AB">
        <w:rPr>
          <w:rFonts w:ascii="Arial" w:hAnsi="Arial" w:cs="Arial"/>
        </w:rPr>
        <w:t xml:space="preserve"> eğitim kılavuzlarının geliştirilmesi ve uygulanması. Kılavuzlar, AB üyesi tüm Üye Devletlerde erişilebilir ve kolayca kullanıma uyarlanabilir olacak şekilde hazırlanmalıdır. Kılavuzlar pilot uygulamaya tabi tutulmalı ve pilot uygulama neticesinde gerektiğinde proje kapsamında uyarlanabilmelidir.</w:t>
      </w:r>
      <w:r w:rsidRPr="000442AB">
        <w:rPr>
          <w:rFonts w:ascii="Arial" w:hAnsi="Arial" w:cs="Arial"/>
        </w:rPr>
        <w:br/>
        <w:t xml:space="preserve">Roman çocukların, kendilerini ilgilendiren meselelere </w:t>
      </w:r>
      <w:proofErr w:type="gramStart"/>
      <w:r w:rsidRPr="000442AB">
        <w:rPr>
          <w:rFonts w:ascii="Arial" w:hAnsi="Arial" w:cs="Arial"/>
        </w:rPr>
        <w:t>dahil</w:t>
      </w:r>
      <w:proofErr w:type="gramEnd"/>
      <w:r w:rsidRPr="000442AB">
        <w:rPr>
          <w:rFonts w:ascii="Arial" w:hAnsi="Arial" w:cs="Arial"/>
        </w:rPr>
        <w:t xml:space="preserve"> edilmeleri amacıyla etkili yaklaşımlar tespit edilerek geliştirilmesi yoluyla, katılımlarının desteklenmesi. Burada amaç Roman çocukların güçlendirilmesi ve yerel, bölgesel ve ulusal düzeyde anlamlı katılımları için zemin hazırlanması olmalıdır.</w:t>
      </w:r>
      <w:r w:rsidRPr="000442AB">
        <w:rPr>
          <w:rFonts w:ascii="Arial" w:hAnsi="Arial" w:cs="Arial"/>
        </w:rPr>
        <w:br/>
      </w:r>
      <w:proofErr w:type="gramStart"/>
      <w:r w:rsidRPr="000442AB">
        <w:rPr>
          <w:rFonts w:ascii="Arial" w:hAnsi="Arial" w:cs="Arial"/>
        </w:rPr>
        <w:t xml:space="preserve">Çocukların hakları konusunda bilgilendirilmeleri sürecinin yapısal düzeyde iyileştirilmesi. </w:t>
      </w:r>
      <w:proofErr w:type="gramEnd"/>
      <w:r w:rsidRPr="000442AB">
        <w:rPr>
          <w:rFonts w:ascii="Arial" w:hAnsi="Arial" w:cs="Arial"/>
        </w:rPr>
        <w:t>Başka bir deyişle, çocukların genel hukuki haklar bağlamında bilgilendirilmelerine dair iyi uygulamaların pilot çalışmalarının yapılması ya da iyi uygulamaların yaygınlaştırılması. Bunlar çocuklara yönelik hukuki bilgilendirme klinikleri ya da hukuki bilgilendirme mobil birimleri vasıtasıyla uygulanabilir. Bu tür merkezlerin çalışmalarının temeli AB Temel Haklar Sözleşmesi ve BM çocuk hakları sözleşmesinde yer alan haklara dayanmaktadır.</w:t>
      </w:r>
    </w:p>
    <w:p w:rsidR="00764877" w:rsidRPr="000442AB" w:rsidRDefault="00764877" w:rsidP="000442AB">
      <w:pPr>
        <w:pStyle w:val="NormalWeb"/>
        <w:spacing w:line="360" w:lineRule="auto"/>
        <w:jc w:val="both"/>
        <w:rPr>
          <w:rFonts w:ascii="Arial" w:hAnsi="Arial" w:cs="Arial"/>
        </w:rPr>
      </w:pPr>
      <w:r w:rsidRPr="000442AB">
        <w:rPr>
          <w:rStyle w:val="Gl"/>
          <w:rFonts w:ascii="Arial" w:hAnsi="Arial" w:cs="Arial"/>
        </w:rPr>
        <w:t>2. Avrupa Birliği İnsan Hakları Bildirgesinin Uygulandığı ve İhlal Edildiği Yerlerle İlgili Bilgilendirme</w:t>
      </w:r>
      <w:r w:rsidRPr="000442AB">
        <w:rPr>
          <w:rFonts w:ascii="Arial" w:hAnsi="Arial" w:cs="Arial"/>
        </w:rPr>
        <w:br/>
        <w:t xml:space="preserve">AB içerisindeki insan hakları kültürünü güçlendirmek amacıyla, İnsan Hakları </w:t>
      </w:r>
      <w:r w:rsidRPr="000442AB">
        <w:rPr>
          <w:rFonts w:ascii="Arial" w:hAnsi="Arial" w:cs="Arial"/>
        </w:rPr>
        <w:lastRenderedPageBreak/>
        <w:t>konularında AB tarafından yapılan uygulamaları geliştirecek eğitim ve bilgilendirmeleri amaçlamaktadır.</w:t>
      </w:r>
    </w:p>
    <w:p w:rsidR="00764877" w:rsidRPr="000442AB" w:rsidRDefault="00764877" w:rsidP="000442AB">
      <w:pPr>
        <w:pStyle w:val="NormalWeb"/>
        <w:spacing w:line="360" w:lineRule="auto"/>
        <w:jc w:val="both"/>
        <w:rPr>
          <w:rFonts w:ascii="Arial" w:hAnsi="Arial" w:cs="Arial"/>
        </w:rPr>
      </w:pPr>
      <w:r w:rsidRPr="000442AB">
        <w:rPr>
          <w:rStyle w:val="Gl"/>
          <w:rFonts w:ascii="Arial" w:hAnsi="Arial" w:cs="Arial"/>
        </w:rPr>
        <w:t>3. Irkçılık ve Yabancı Düşmanlığı Konularının Farklı Formları ile Savaşma</w:t>
      </w:r>
      <w:r w:rsidRPr="000442AB">
        <w:rPr>
          <w:rFonts w:ascii="Arial" w:hAnsi="Arial" w:cs="Arial"/>
        </w:rPr>
        <w:br/>
        <w:t>Irkçılık ve yabancı düşmanlığı konularında bilinci artırma ve daha etkin bir raporlama yapılabilmesi için veri toplama, iyi uygulama örneklerinin paylaşımı gibi konuları hedeflemektedir.</w:t>
      </w:r>
    </w:p>
    <w:p w:rsidR="00764877" w:rsidRPr="000442AB" w:rsidRDefault="00764877" w:rsidP="000442AB">
      <w:pPr>
        <w:pStyle w:val="NormalWeb"/>
        <w:spacing w:line="360" w:lineRule="auto"/>
        <w:jc w:val="both"/>
        <w:rPr>
          <w:rFonts w:ascii="Arial" w:hAnsi="Arial" w:cs="Arial"/>
        </w:rPr>
      </w:pPr>
      <w:r w:rsidRPr="000442AB">
        <w:rPr>
          <w:rStyle w:val="Gl"/>
          <w:rFonts w:ascii="Arial" w:hAnsi="Arial" w:cs="Arial"/>
        </w:rPr>
        <w:t xml:space="preserve">4. </w:t>
      </w:r>
      <w:proofErr w:type="spellStart"/>
      <w:r w:rsidRPr="000442AB">
        <w:rPr>
          <w:rStyle w:val="Gl"/>
          <w:rFonts w:ascii="Arial" w:hAnsi="Arial" w:cs="Arial"/>
        </w:rPr>
        <w:t>Homofobiyle</w:t>
      </w:r>
      <w:proofErr w:type="spellEnd"/>
      <w:r w:rsidRPr="000442AB">
        <w:rPr>
          <w:rStyle w:val="Gl"/>
          <w:rFonts w:ascii="Arial" w:hAnsi="Arial" w:cs="Arial"/>
        </w:rPr>
        <w:t xml:space="preserve"> Savaşma: Anlayış ve Toleransı Artırma</w:t>
      </w:r>
      <w:r w:rsidRPr="000442AB">
        <w:rPr>
          <w:rFonts w:ascii="Arial" w:hAnsi="Arial" w:cs="Arial"/>
        </w:rPr>
        <w:br/>
        <w:t xml:space="preserve">Bu öncelik, </w:t>
      </w:r>
      <w:proofErr w:type="spellStart"/>
      <w:r w:rsidRPr="000442AB">
        <w:rPr>
          <w:rFonts w:ascii="Arial" w:hAnsi="Arial" w:cs="Arial"/>
        </w:rPr>
        <w:t>homofobiyle</w:t>
      </w:r>
      <w:proofErr w:type="spellEnd"/>
      <w:r w:rsidRPr="000442AB">
        <w:rPr>
          <w:rFonts w:ascii="Arial" w:hAnsi="Arial" w:cs="Arial"/>
        </w:rPr>
        <w:t xml:space="preserve"> savaşma konularındaki yasal ve insani hakları içermektedir. </w:t>
      </w:r>
      <w:proofErr w:type="spellStart"/>
      <w:r w:rsidRPr="000442AB">
        <w:rPr>
          <w:rFonts w:ascii="Arial" w:hAnsi="Arial" w:cs="Arial"/>
        </w:rPr>
        <w:t>Homofobik</w:t>
      </w:r>
      <w:proofErr w:type="spellEnd"/>
      <w:r w:rsidRPr="000442AB">
        <w:rPr>
          <w:rFonts w:ascii="Arial" w:hAnsi="Arial" w:cs="Arial"/>
        </w:rPr>
        <w:t xml:space="preserve"> yaklaşımlar ve kalıp</w:t>
      </w:r>
      <w:r w:rsidR="000442AB" w:rsidRPr="000442AB">
        <w:rPr>
          <w:rFonts w:ascii="Arial" w:hAnsi="Arial" w:cs="Arial"/>
        </w:rPr>
        <w:t xml:space="preserve"> </w:t>
      </w:r>
      <w:r w:rsidRPr="000442AB">
        <w:rPr>
          <w:rFonts w:ascii="Arial" w:hAnsi="Arial" w:cs="Arial"/>
        </w:rPr>
        <w:t xml:space="preserve">yargıların azaltılması konularındaki raporlama, gözlemleme faaliyetleri hedeflenmektedir. Yasal otoritelerin yeterliğinin </w:t>
      </w:r>
      <w:r w:rsidR="000442AB" w:rsidRPr="000442AB">
        <w:rPr>
          <w:rFonts w:ascii="Arial" w:hAnsi="Arial" w:cs="Arial"/>
        </w:rPr>
        <w:t>artırılacağı</w:t>
      </w:r>
      <w:r w:rsidRPr="000442AB">
        <w:rPr>
          <w:rFonts w:ascii="Arial" w:hAnsi="Arial" w:cs="Arial"/>
        </w:rPr>
        <w:t xml:space="preserve"> projeler komisyon tarafından beklenmektedir.</w:t>
      </w:r>
    </w:p>
    <w:p w:rsidR="00764877" w:rsidRPr="000442AB" w:rsidRDefault="00764877" w:rsidP="000442AB">
      <w:pPr>
        <w:pStyle w:val="NormalWeb"/>
        <w:spacing w:line="360" w:lineRule="auto"/>
        <w:jc w:val="both"/>
        <w:rPr>
          <w:rFonts w:ascii="Arial" w:hAnsi="Arial" w:cs="Arial"/>
        </w:rPr>
      </w:pPr>
      <w:r w:rsidRPr="000442AB">
        <w:rPr>
          <w:rStyle w:val="Gl"/>
          <w:rFonts w:ascii="Arial" w:hAnsi="Arial" w:cs="Arial"/>
        </w:rPr>
        <w:t>5. Yasal Otorite ve Uygulayıcılar için Eğitim ve Ağ Kurma</w:t>
      </w:r>
      <w:r w:rsidRPr="000442AB">
        <w:rPr>
          <w:rFonts w:ascii="Arial" w:hAnsi="Arial" w:cs="Arial"/>
        </w:rPr>
        <w:br/>
        <w:t xml:space="preserve">İnsan hakları kültürünün güçlendirilmesi amacıyla, öncelik kapsamında </w:t>
      </w:r>
      <w:r w:rsidR="000442AB" w:rsidRPr="000442AB">
        <w:rPr>
          <w:rFonts w:ascii="Arial" w:hAnsi="Arial" w:cs="Arial"/>
        </w:rPr>
        <w:t>yasal, kanuni</w:t>
      </w:r>
      <w:r w:rsidRPr="000442AB">
        <w:rPr>
          <w:rFonts w:ascii="Arial" w:hAnsi="Arial" w:cs="Arial"/>
        </w:rPr>
        <w:t xml:space="preserve"> otoritelerin ve uygulayıcıların anlayış ve bilgilendirilmesini artırıcı faaliyetler desteklenecektir.</w:t>
      </w:r>
    </w:p>
    <w:p w:rsidR="00764877" w:rsidRPr="000442AB" w:rsidRDefault="00764877" w:rsidP="000442AB">
      <w:pPr>
        <w:pStyle w:val="NormalWeb"/>
        <w:spacing w:line="360" w:lineRule="auto"/>
        <w:jc w:val="both"/>
        <w:rPr>
          <w:rFonts w:ascii="Arial" w:hAnsi="Arial" w:cs="Arial"/>
        </w:rPr>
      </w:pPr>
      <w:r w:rsidRPr="000442AB">
        <w:rPr>
          <w:rStyle w:val="Gl"/>
          <w:rFonts w:ascii="Arial" w:hAnsi="Arial" w:cs="Arial"/>
        </w:rPr>
        <w:t>6. Avrupa Vatandaşlığı ve Hakları Konusunda Bilinçlendirme ve Uygulanması Önündeki Engellerin Tespiti</w:t>
      </w:r>
      <w:r w:rsidRPr="000442AB">
        <w:rPr>
          <w:rFonts w:ascii="Arial" w:hAnsi="Arial" w:cs="Arial"/>
        </w:rPr>
        <w:br/>
        <w:t>Avrupa Vatandaşlığı ve somut faydaları hakkında bilinçlendirme faaliyetleri ve iyi uygulanmasının önündeki engellerin belirlenmesi konuları hedeflenmektedir.</w:t>
      </w:r>
    </w:p>
    <w:p w:rsidR="00764877" w:rsidRPr="000442AB" w:rsidRDefault="00764877" w:rsidP="000442AB">
      <w:pPr>
        <w:pStyle w:val="NormalWeb"/>
        <w:spacing w:line="360" w:lineRule="auto"/>
        <w:jc w:val="both"/>
        <w:rPr>
          <w:rFonts w:ascii="Arial" w:hAnsi="Arial" w:cs="Arial"/>
        </w:rPr>
      </w:pPr>
      <w:r w:rsidRPr="000442AB">
        <w:rPr>
          <w:rStyle w:val="Gl"/>
          <w:rFonts w:ascii="Arial" w:hAnsi="Arial" w:cs="Arial"/>
        </w:rPr>
        <w:t>7. Serbest Dolaşım ile ilgili AB Yasaları hakkında Bilinçlendirme ve Bilgilendirme</w:t>
      </w:r>
      <w:r w:rsidRPr="000442AB">
        <w:rPr>
          <w:rFonts w:ascii="Arial" w:hAnsi="Arial" w:cs="Arial"/>
        </w:rPr>
        <w:br/>
        <w:t>Serbest Dolaşım konusunun ve bunun ilgili hakların uygulanmasında uzmanlık, bilgilendirme faaliyetlerinin yapılması, serbest dolaşım konusunun geniş kapsamda anlaşılması ve serbest dolaşım hakkıyla ilgili bilinçlendirmenin yapılmasını hedeflemektedir.</w:t>
      </w:r>
    </w:p>
    <w:p w:rsidR="00764877" w:rsidRPr="000442AB" w:rsidRDefault="00764877" w:rsidP="000442AB">
      <w:pPr>
        <w:pStyle w:val="NormalWeb"/>
        <w:spacing w:line="360" w:lineRule="auto"/>
        <w:jc w:val="both"/>
        <w:rPr>
          <w:rFonts w:ascii="Arial" w:hAnsi="Arial" w:cs="Arial"/>
        </w:rPr>
      </w:pPr>
      <w:r w:rsidRPr="000442AB">
        <w:rPr>
          <w:rStyle w:val="Gl"/>
          <w:rFonts w:ascii="Arial" w:hAnsi="Arial" w:cs="Arial"/>
        </w:rPr>
        <w:t>8. Avrupa Vatandaşlığının Edinimi ve Kaybı Konusunda İyi Örneklerin Paylaşımını Kolaylaştırma</w:t>
      </w:r>
      <w:r w:rsidRPr="000442AB">
        <w:rPr>
          <w:rFonts w:ascii="Arial" w:hAnsi="Arial" w:cs="Arial"/>
        </w:rPr>
        <w:br/>
        <w:t>Avrupa Vatandaşlığı konusunda bilgi paylaşımı ve tecrübenin aktarılması konularını içermektedir.</w:t>
      </w:r>
    </w:p>
    <w:p w:rsidR="00764877" w:rsidRPr="000442AB" w:rsidRDefault="00764877" w:rsidP="000442AB">
      <w:pPr>
        <w:pStyle w:val="NormalWeb"/>
        <w:spacing w:line="360" w:lineRule="auto"/>
        <w:jc w:val="both"/>
        <w:rPr>
          <w:rFonts w:ascii="Arial" w:hAnsi="Arial" w:cs="Arial"/>
        </w:rPr>
      </w:pPr>
      <w:r w:rsidRPr="000442AB">
        <w:rPr>
          <w:rStyle w:val="Gl"/>
          <w:rFonts w:ascii="Arial" w:hAnsi="Arial" w:cs="Arial"/>
        </w:rPr>
        <w:lastRenderedPageBreak/>
        <w:t>9. Avrupa Parlamentosu Seçimlerine Katılımda Cinsiyet Eşitsizliği Konusu</w:t>
      </w:r>
      <w:r w:rsidRPr="000442AB">
        <w:rPr>
          <w:rFonts w:ascii="Arial" w:hAnsi="Arial" w:cs="Arial"/>
        </w:rPr>
        <w:br/>
        <w:t>Kadınların Avrupa Parlamentosu seçimlerine adaylığı ve katılımındaki cinsiyet eşitsizliğinin gözlemlenmesi ve incelenmesi konularını içermektedir.</w:t>
      </w:r>
    </w:p>
    <w:p w:rsidR="00764877" w:rsidRDefault="00764877" w:rsidP="000442AB">
      <w:pPr>
        <w:pStyle w:val="NormalWeb"/>
        <w:spacing w:line="360" w:lineRule="auto"/>
        <w:jc w:val="both"/>
        <w:rPr>
          <w:rFonts w:ascii="Arial" w:hAnsi="Arial" w:cs="Arial"/>
        </w:rPr>
      </w:pPr>
      <w:r w:rsidRPr="000442AB">
        <w:rPr>
          <w:rStyle w:val="Gl"/>
          <w:rFonts w:ascii="Arial" w:hAnsi="Arial" w:cs="Arial"/>
        </w:rPr>
        <w:t>10. Veri Koruma ve Özel Hayat Hakkı</w:t>
      </w:r>
      <w:r w:rsidRPr="000442AB">
        <w:rPr>
          <w:rFonts w:ascii="Arial" w:hAnsi="Arial" w:cs="Arial"/>
        </w:rPr>
        <w:br/>
        <w:t>Veri koruması ve özel hayat hakkı ile ilgili bilinçlendirme, Avrupa Birliği’ndeki yetkili organlarla işbirliğine teşvik, teknolojinin ve veri korunması haklarının çeliştiği yerlerin incelenmesi konularını içermektedir.</w:t>
      </w:r>
    </w:p>
    <w:p w:rsidR="000442AB" w:rsidRPr="000442AB" w:rsidRDefault="000442AB" w:rsidP="000442AB">
      <w:pPr>
        <w:pStyle w:val="NormalWeb"/>
        <w:rPr>
          <w:rFonts w:ascii="Arial" w:hAnsi="Arial" w:cs="Arial"/>
          <w:color w:val="C00000"/>
        </w:rPr>
      </w:pPr>
      <w:r w:rsidRPr="000442AB">
        <w:rPr>
          <w:rFonts w:ascii="Arial" w:hAnsi="Arial" w:cs="Arial"/>
          <w:b/>
        </w:rPr>
        <w:t>ÇAĞRI TAKVİMİ:</w:t>
      </w:r>
      <w:r w:rsidRPr="000442AB">
        <w:rPr>
          <w:rFonts w:ascii="Arial" w:hAnsi="Arial" w:cs="Arial"/>
        </w:rPr>
        <w:t xml:space="preserve"> </w:t>
      </w:r>
      <w:r w:rsidRPr="000442AB">
        <w:rPr>
          <w:rFonts w:ascii="Arial" w:hAnsi="Arial" w:cs="Arial"/>
          <w:b/>
          <w:color w:val="C00000"/>
        </w:rPr>
        <w:t xml:space="preserve">12 Mart 2014 saat </w:t>
      </w:r>
      <w:proofErr w:type="gramStart"/>
      <w:r w:rsidRPr="000442AB">
        <w:rPr>
          <w:rFonts w:ascii="Arial" w:hAnsi="Arial" w:cs="Arial"/>
          <w:b/>
          <w:color w:val="C00000"/>
        </w:rPr>
        <w:t>12:00’dir</w:t>
      </w:r>
      <w:proofErr w:type="gramEnd"/>
      <w:r w:rsidRPr="000442AB">
        <w:rPr>
          <w:rFonts w:ascii="Arial" w:hAnsi="Arial" w:cs="Arial"/>
          <w:b/>
          <w:color w:val="C00000"/>
        </w:rPr>
        <w:t>.</w:t>
      </w:r>
    </w:p>
    <w:p w:rsidR="000442AB" w:rsidRPr="000442AB" w:rsidRDefault="000442AB" w:rsidP="000442AB">
      <w:pPr>
        <w:pStyle w:val="NormalWeb"/>
        <w:rPr>
          <w:rFonts w:ascii="Arial" w:hAnsi="Arial" w:cs="Arial"/>
          <w:b/>
          <w:color w:val="C00000"/>
        </w:rPr>
      </w:pPr>
      <w:r w:rsidRPr="000442AB">
        <w:rPr>
          <w:rFonts w:ascii="Arial" w:hAnsi="Arial" w:cs="Arial"/>
          <w:b/>
        </w:rPr>
        <w:t>PROGRAMIN TOPLAM BÜTÇESİ:</w:t>
      </w:r>
      <w:r w:rsidRPr="000442AB">
        <w:rPr>
          <w:rFonts w:ascii="Arial" w:hAnsi="Arial" w:cs="Arial"/>
        </w:rPr>
        <w:t xml:space="preserve"> </w:t>
      </w:r>
      <w:r w:rsidRPr="000442AB">
        <w:rPr>
          <w:rFonts w:ascii="Arial" w:hAnsi="Arial" w:cs="Arial"/>
          <w:b/>
          <w:color w:val="C00000"/>
        </w:rPr>
        <w:t>10 900 000 Euro’dur.</w:t>
      </w:r>
    </w:p>
    <w:p w:rsidR="000442AB" w:rsidRPr="000442AB" w:rsidRDefault="000442AB" w:rsidP="000442AB">
      <w:pPr>
        <w:pStyle w:val="NormalWeb"/>
        <w:rPr>
          <w:rFonts w:ascii="Arial" w:hAnsi="Arial" w:cs="Arial"/>
          <w:b/>
          <w:color w:val="C00000"/>
        </w:rPr>
      </w:pPr>
      <w:r w:rsidRPr="000442AB">
        <w:rPr>
          <w:rFonts w:ascii="Arial" w:hAnsi="Arial" w:cs="Arial"/>
          <w:b/>
          <w:color w:val="C00000"/>
        </w:rPr>
        <w:t>DETAYLI BİLGİ İÇİN AŞAĞIDAKİ LİNKİ ZİYARET EDİNİZ.</w:t>
      </w:r>
    </w:p>
    <w:p w:rsidR="000442AB" w:rsidRPr="000442AB" w:rsidRDefault="000442AB" w:rsidP="000442AB">
      <w:pPr>
        <w:pStyle w:val="NormalWeb"/>
        <w:rPr>
          <w:rFonts w:ascii="Arial" w:hAnsi="Arial" w:cs="Arial"/>
          <w:b/>
        </w:rPr>
      </w:pPr>
      <w:r w:rsidRPr="000442AB">
        <w:rPr>
          <w:rFonts w:ascii="Arial" w:hAnsi="Arial" w:cs="Arial"/>
          <w:b/>
        </w:rPr>
        <w:t>http://ec.europa.eu/justice/newsroom/grants/just_2013_frc_ag_en.htm</w:t>
      </w:r>
    </w:p>
    <w:p w:rsidR="000442AB" w:rsidRPr="000442AB" w:rsidRDefault="000442AB" w:rsidP="000442AB">
      <w:pPr>
        <w:pStyle w:val="NormalWeb"/>
        <w:spacing w:line="360" w:lineRule="auto"/>
        <w:jc w:val="both"/>
        <w:rPr>
          <w:rFonts w:ascii="Arial" w:hAnsi="Arial" w:cs="Arial"/>
        </w:rPr>
      </w:pPr>
    </w:p>
    <w:p w:rsidR="00764877" w:rsidRPr="000442AB" w:rsidRDefault="00764877" w:rsidP="000442AB">
      <w:pPr>
        <w:spacing w:line="360" w:lineRule="auto"/>
        <w:jc w:val="both"/>
        <w:rPr>
          <w:rFonts w:ascii="Arial" w:hAnsi="Arial" w:cs="Arial"/>
          <w:sz w:val="24"/>
          <w:szCs w:val="24"/>
        </w:rPr>
      </w:pPr>
      <w:bookmarkStart w:id="0" w:name="_GoBack"/>
      <w:bookmarkEnd w:id="0"/>
    </w:p>
    <w:sectPr w:rsidR="00764877" w:rsidRPr="00044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77"/>
    <w:rsid w:val="000442AB"/>
    <w:rsid w:val="0011229C"/>
    <w:rsid w:val="00764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6487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6487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64877"/>
    <w:rPr>
      <w:color w:val="0000FF"/>
      <w:u w:val="single"/>
    </w:rPr>
  </w:style>
  <w:style w:type="paragraph" w:styleId="NormalWeb">
    <w:name w:val="Normal (Web)"/>
    <w:basedOn w:val="Normal"/>
    <w:uiPriority w:val="99"/>
    <w:semiHidden/>
    <w:unhideWhenUsed/>
    <w:rsid w:val="007648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48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6487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6487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64877"/>
    <w:rPr>
      <w:color w:val="0000FF"/>
      <w:u w:val="single"/>
    </w:rPr>
  </w:style>
  <w:style w:type="paragraph" w:styleId="NormalWeb">
    <w:name w:val="Normal (Web)"/>
    <w:basedOn w:val="Normal"/>
    <w:uiPriority w:val="99"/>
    <w:semiHidden/>
    <w:unhideWhenUsed/>
    <w:rsid w:val="007648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4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7717">
      <w:bodyDiv w:val="1"/>
      <w:marLeft w:val="0"/>
      <w:marRight w:val="0"/>
      <w:marTop w:val="0"/>
      <w:marBottom w:val="0"/>
      <w:divBdr>
        <w:top w:val="none" w:sz="0" w:space="0" w:color="auto"/>
        <w:left w:val="none" w:sz="0" w:space="0" w:color="auto"/>
        <w:bottom w:val="none" w:sz="0" w:space="0" w:color="auto"/>
        <w:right w:val="none" w:sz="0" w:space="0" w:color="auto"/>
      </w:divBdr>
    </w:div>
    <w:div w:id="508449603">
      <w:bodyDiv w:val="1"/>
      <w:marLeft w:val="0"/>
      <w:marRight w:val="0"/>
      <w:marTop w:val="0"/>
      <w:marBottom w:val="0"/>
      <w:divBdr>
        <w:top w:val="none" w:sz="0" w:space="0" w:color="auto"/>
        <w:left w:val="none" w:sz="0" w:space="0" w:color="auto"/>
        <w:bottom w:val="none" w:sz="0" w:space="0" w:color="auto"/>
        <w:right w:val="none" w:sz="0" w:space="0" w:color="auto"/>
      </w:divBdr>
    </w:div>
    <w:div w:id="19527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ilan.com/ab-projeleri/proje-hibe-ve-fonlar/ab-projeleri/temel-haklar-ve-yurttaslik-hibe-programi-2013-teklif-cagrisi-004234"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699</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2013-12-05T08:18:00Z</dcterms:created>
  <dcterms:modified xsi:type="dcterms:W3CDTF">2013-12-05T08:36:00Z</dcterms:modified>
</cp:coreProperties>
</file>